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DDA" w:rsidRDefault="00E17DDA">
      <w:pPr>
        <w:shd w:val="pct10" w:color="auto" w:fill="auto"/>
        <w:rPr>
          <w:rFonts w:ascii="Arial" w:hAnsi="Arial" w:cs="Arial"/>
          <w:b/>
          <w:bCs/>
          <w:i/>
          <w:iCs/>
          <w:lang w:val="ru-RU"/>
        </w:rPr>
      </w:pPr>
      <w:r>
        <w:rPr>
          <w:rFonts w:ascii="Decor" w:hAnsi="Decor" w:cs="Decor"/>
          <w:b/>
          <w:bCs/>
          <w:i/>
          <w:iCs/>
          <w:lang w:val="ru-RU"/>
        </w:rPr>
        <w:t xml:space="preserve">                    </w:t>
      </w:r>
      <w:r>
        <w:rPr>
          <w:rFonts w:ascii="Arial" w:hAnsi="Arial" w:cs="Arial"/>
          <w:b/>
          <w:bCs/>
          <w:i/>
          <w:iCs/>
          <w:lang w:val="ru-RU"/>
        </w:rPr>
        <w:t xml:space="preserve">Ассоциация  жилищно - строительных  кооперативов,  жилищных </w:t>
      </w:r>
    </w:p>
    <w:p w:rsidR="00E17DDA" w:rsidRDefault="00E17DDA">
      <w:pPr>
        <w:shd w:val="pct10" w:color="auto" w:fill="auto"/>
        <w:jc w:val="center"/>
        <w:rPr>
          <w:rFonts w:ascii="Arial" w:hAnsi="Arial" w:cs="Arial"/>
          <w:b/>
          <w:bCs/>
          <w:i/>
          <w:iCs/>
          <w:lang w:val="ru-RU"/>
        </w:rPr>
      </w:pPr>
      <w:r>
        <w:rPr>
          <w:rFonts w:ascii="Arial" w:hAnsi="Arial" w:cs="Arial"/>
          <w:b/>
          <w:bCs/>
          <w:i/>
          <w:iCs/>
          <w:lang w:val="ru-RU"/>
        </w:rPr>
        <w:t xml:space="preserve">кооперативов  и  товариществ  собственников  жилья </w:t>
      </w:r>
    </w:p>
    <w:p w:rsidR="00E17DDA" w:rsidRDefault="00E17DDA">
      <w:pPr>
        <w:shd w:val="pct10" w:color="auto" w:fill="auto"/>
        <w:jc w:val="center"/>
        <w:rPr>
          <w:rFonts w:ascii="Arial" w:hAnsi="Arial" w:cs="Arial"/>
          <w:b/>
          <w:bCs/>
          <w:i/>
          <w:iCs/>
          <w:lang w:val="ru-RU"/>
        </w:rPr>
      </w:pPr>
      <w:r>
        <w:rPr>
          <w:rFonts w:ascii="Arial" w:hAnsi="Arial" w:cs="Arial"/>
          <w:b/>
          <w:bCs/>
          <w:i/>
          <w:iCs/>
          <w:lang w:val="ru-RU"/>
        </w:rPr>
        <w:t>г. Санкт - Петербурга.</w:t>
      </w:r>
    </w:p>
    <w:p w:rsidR="00E17DDA" w:rsidRDefault="00E17DDA">
      <w:pPr>
        <w:jc w:val="center"/>
        <w:rPr>
          <w:rFonts w:ascii="Arial" w:hAnsi="Arial" w:cs="Arial"/>
          <w:lang w:val="ru-RU"/>
        </w:rPr>
      </w:pPr>
    </w:p>
    <w:p w:rsidR="00E17DDA" w:rsidRDefault="00E17DDA">
      <w:pPr>
        <w:rPr>
          <w:rFonts w:ascii="Arial" w:hAnsi="Arial" w:cs="Arial"/>
          <w:sz w:val="24"/>
          <w:szCs w:val="24"/>
          <w:lang w:val="ru-RU"/>
        </w:rPr>
      </w:pPr>
    </w:p>
    <w:p w:rsidR="00E17DDA" w:rsidRDefault="00E17DDA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2"/>
          <w:szCs w:val="22"/>
          <w:lang w:val="ru-RU"/>
        </w:rPr>
        <w:t>195220</w:t>
      </w:r>
      <w:r>
        <w:rPr>
          <w:rFonts w:ascii="Arial" w:hAnsi="Arial" w:cs="Arial"/>
          <w:sz w:val="22"/>
          <w:szCs w:val="22"/>
          <w:lang w:val="ru-RU"/>
        </w:rPr>
        <w:t xml:space="preserve">,  Санкт-Петербург,   </w:t>
      </w:r>
      <w:r>
        <w:rPr>
          <w:rFonts w:ascii="Arial" w:hAnsi="Arial" w:cs="Arial"/>
          <w:b/>
          <w:bCs/>
          <w:sz w:val="22"/>
          <w:szCs w:val="22"/>
          <w:lang w:val="ru-RU"/>
        </w:rPr>
        <w:t>а / я  146</w:t>
      </w:r>
      <w:r>
        <w:rPr>
          <w:rFonts w:ascii="Arial" w:hAnsi="Arial" w:cs="Arial"/>
          <w:sz w:val="22"/>
          <w:szCs w:val="22"/>
          <w:lang w:val="ru-RU"/>
        </w:rPr>
        <w:t xml:space="preserve">                                  </w:t>
      </w:r>
      <w:r>
        <w:rPr>
          <w:rFonts w:ascii="Arial" w:hAnsi="Arial" w:cs="Arial"/>
          <w:sz w:val="24"/>
          <w:szCs w:val="24"/>
          <w:lang w:val="ru-RU"/>
        </w:rPr>
        <w:t xml:space="preserve">             Руководителю                            </w:t>
      </w:r>
    </w:p>
    <w:p w:rsidR="00E17DDA" w:rsidRDefault="00E17DDA">
      <w:pPr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 xml:space="preserve">        тел./ факс    </w:t>
      </w:r>
      <w:r>
        <w:rPr>
          <w:rFonts w:ascii="Arial" w:hAnsi="Arial" w:cs="Arial"/>
          <w:b/>
          <w:bCs/>
          <w:sz w:val="22"/>
          <w:szCs w:val="22"/>
          <w:lang w:val="ru-RU"/>
        </w:rPr>
        <w:t xml:space="preserve">314 – 41 -  81                                                      </w:t>
      </w:r>
      <w:r>
        <w:rPr>
          <w:rFonts w:ascii="Arial" w:hAnsi="Arial" w:cs="Arial"/>
          <w:sz w:val="24"/>
          <w:szCs w:val="24"/>
          <w:lang w:val="ru-RU"/>
        </w:rPr>
        <w:t xml:space="preserve">     Федеральной службы                    </w:t>
      </w:r>
    </w:p>
    <w:p w:rsidR="00E17DDA" w:rsidRDefault="00E17DDA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 xml:space="preserve">  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lang w:val="ru-RU"/>
        </w:rPr>
        <w:t>-</w:t>
      </w:r>
      <w:r>
        <w:rPr>
          <w:rFonts w:ascii="Arial" w:hAnsi="Arial" w:cs="Arial"/>
          <w:b/>
          <w:bCs/>
          <w:i/>
          <w:iCs/>
        </w:rPr>
        <w:t>mail</w:t>
      </w:r>
      <w:r>
        <w:rPr>
          <w:rFonts w:ascii="Arial" w:hAnsi="Arial" w:cs="Arial"/>
          <w:b/>
          <w:bCs/>
          <w:i/>
          <w:iCs/>
          <w:lang w:val="ru-RU"/>
        </w:rPr>
        <w:t>:</w:t>
      </w:r>
      <w:r>
        <w:rPr>
          <w:rFonts w:ascii="Arial" w:hAnsi="Arial" w:cs="Arial"/>
          <w:b/>
          <w:bCs/>
          <w:i/>
          <w:iCs/>
        </w:rPr>
        <w:t>akimova</w:t>
      </w:r>
      <w:r>
        <w:rPr>
          <w:rFonts w:ascii="Arial" w:hAnsi="Arial" w:cs="Arial"/>
          <w:b/>
          <w:bCs/>
          <w:i/>
          <w:iCs/>
          <w:lang w:val="ru-RU"/>
        </w:rPr>
        <w:t>-</w:t>
      </w:r>
      <w:r>
        <w:rPr>
          <w:rFonts w:ascii="Arial" w:hAnsi="Arial" w:cs="Arial"/>
          <w:b/>
          <w:bCs/>
          <w:i/>
          <w:iCs/>
        </w:rPr>
        <w:t>gsk</w:t>
      </w:r>
      <w:r>
        <w:rPr>
          <w:rFonts w:ascii="Arial" w:hAnsi="Arial" w:cs="Arial"/>
          <w:b/>
          <w:bCs/>
          <w:i/>
          <w:iCs/>
          <w:lang w:val="ru-RU"/>
        </w:rPr>
        <w:t>-</w:t>
      </w:r>
      <w:r>
        <w:rPr>
          <w:rFonts w:ascii="Arial" w:hAnsi="Arial" w:cs="Arial"/>
          <w:b/>
          <w:bCs/>
          <w:i/>
          <w:iCs/>
        </w:rPr>
        <w:t>tsg</w:t>
      </w:r>
      <w:r>
        <w:rPr>
          <w:rFonts w:ascii="Arial" w:hAnsi="Arial" w:cs="Arial"/>
          <w:b/>
          <w:bCs/>
          <w:i/>
          <w:iCs/>
          <w:lang w:val="ru-RU"/>
        </w:rPr>
        <w:t>@</w:t>
      </w:r>
      <w:r>
        <w:rPr>
          <w:rFonts w:ascii="Arial" w:hAnsi="Arial" w:cs="Arial"/>
          <w:b/>
          <w:bCs/>
          <w:i/>
          <w:iCs/>
        </w:rPr>
        <w:t>rambler</w:t>
      </w:r>
      <w:r>
        <w:rPr>
          <w:rFonts w:ascii="Arial" w:hAnsi="Arial" w:cs="Arial"/>
          <w:b/>
          <w:bCs/>
          <w:i/>
          <w:iCs/>
          <w:lang w:val="ru-RU"/>
        </w:rPr>
        <w:t>.</w:t>
      </w:r>
      <w:r>
        <w:rPr>
          <w:rFonts w:ascii="Arial" w:hAnsi="Arial" w:cs="Arial"/>
          <w:b/>
          <w:bCs/>
          <w:i/>
          <w:iCs/>
        </w:rPr>
        <w:t>ru</w:t>
      </w:r>
      <w:r>
        <w:rPr>
          <w:rFonts w:ascii="Arial" w:hAnsi="Arial" w:cs="Arial"/>
          <w:b/>
          <w:bCs/>
          <w:i/>
          <w:iCs/>
          <w:lang w:val="ru-RU"/>
        </w:rPr>
        <w:t xml:space="preserve">                      </w:t>
      </w:r>
      <w:r>
        <w:rPr>
          <w:rFonts w:ascii="Arial" w:hAnsi="Arial" w:cs="Arial"/>
          <w:sz w:val="24"/>
          <w:szCs w:val="24"/>
          <w:lang w:val="ru-RU"/>
        </w:rPr>
        <w:t xml:space="preserve">                               по  тарифам</w:t>
      </w:r>
    </w:p>
    <w:p w:rsidR="00E17DDA" w:rsidRDefault="00E17DDA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</w:t>
      </w:r>
      <w:r>
        <w:rPr>
          <w:rFonts w:ascii="Arial" w:hAnsi="Arial" w:cs="Arial"/>
          <w:b/>
          <w:bCs/>
          <w:i/>
          <w:iCs/>
          <w:lang w:val="ru-RU"/>
        </w:rPr>
        <w:t xml:space="preserve">    </w:t>
      </w:r>
      <w:hyperlink r:id="rId5" w:history="1">
        <w:r>
          <w:rPr>
            <w:rStyle w:val="Hyperlink"/>
            <w:rFonts w:ascii="Arial" w:hAnsi="Arial" w:cs="Arial"/>
            <w:b/>
            <w:bCs/>
            <w:i/>
            <w:iCs/>
          </w:rPr>
          <w:t>www</w:t>
        </w:r>
        <w:r>
          <w:rPr>
            <w:rStyle w:val="Hyperlink"/>
            <w:rFonts w:ascii="Arial" w:hAnsi="Arial" w:cs="Arial"/>
            <w:b/>
            <w:bCs/>
            <w:i/>
            <w:iCs/>
            <w:lang w:val="ru-RU"/>
          </w:rPr>
          <w:t>.</w:t>
        </w:r>
        <w:r>
          <w:rPr>
            <w:rStyle w:val="Hyperlink"/>
            <w:rFonts w:ascii="Arial" w:hAnsi="Arial" w:cs="Arial"/>
            <w:b/>
            <w:bCs/>
            <w:i/>
            <w:iCs/>
          </w:rPr>
          <w:t>tsg</w:t>
        </w:r>
        <w:r>
          <w:rPr>
            <w:rStyle w:val="Hyperlink"/>
            <w:rFonts w:ascii="Arial" w:hAnsi="Arial" w:cs="Arial"/>
            <w:b/>
            <w:bCs/>
            <w:i/>
            <w:iCs/>
            <w:lang w:val="ru-RU"/>
          </w:rPr>
          <w:t>-</w:t>
        </w:r>
        <w:r>
          <w:rPr>
            <w:rStyle w:val="Hyperlink"/>
            <w:rFonts w:ascii="Arial" w:hAnsi="Arial" w:cs="Arial"/>
            <w:b/>
            <w:bCs/>
            <w:i/>
            <w:iCs/>
          </w:rPr>
          <w:t>union</w:t>
        </w:r>
        <w:r>
          <w:rPr>
            <w:rStyle w:val="Hyperlink"/>
            <w:rFonts w:ascii="Arial" w:hAnsi="Arial" w:cs="Arial"/>
            <w:b/>
            <w:bCs/>
            <w:i/>
            <w:iCs/>
            <w:lang w:val="ru-RU"/>
          </w:rPr>
          <w:t>.</w:t>
        </w:r>
        <w:r>
          <w:rPr>
            <w:rStyle w:val="Hyperlink"/>
            <w:rFonts w:ascii="Arial" w:hAnsi="Arial" w:cs="Arial"/>
            <w:b/>
            <w:bCs/>
            <w:i/>
            <w:iCs/>
          </w:rPr>
          <w:t>ru</w:t>
        </w:r>
      </w:hyperlink>
      <w:r>
        <w:rPr>
          <w:rFonts w:ascii="Arial" w:hAnsi="Arial" w:cs="Arial"/>
          <w:b/>
          <w:bCs/>
          <w:i/>
          <w:iCs/>
          <w:lang w:val="ru-RU"/>
        </w:rPr>
        <w:t xml:space="preserve">                                           </w:t>
      </w:r>
      <w:r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                                     </w:t>
      </w:r>
    </w:p>
    <w:p w:rsidR="00E17DDA" w:rsidRDefault="00E17DDA">
      <w:pPr>
        <w:rPr>
          <w:rFonts w:ascii="Arial" w:hAnsi="Arial" w:cs="Arial"/>
          <w:i/>
          <w:iCs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                                              </w:t>
      </w:r>
      <w:r>
        <w:rPr>
          <w:rFonts w:ascii="Arial" w:hAnsi="Arial" w:cs="Arial"/>
          <w:b/>
          <w:bCs/>
          <w:sz w:val="24"/>
          <w:szCs w:val="24"/>
          <w:lang w:val="ru-RU"/>
        </w:rPr>
        <w:t xml:space="preserve">Новикову  С. Г. </w:t>
      </w:r>
      <w:r>
        <w:rPr>
          <w:rFonts w:ascii="Arial" w:hAnsi="Arial" w:cs="Arial"/>
          <w:sz w:val="24"/>
          <w:szCs w:val="24"/>
          <w:lang w:val="ru-RU"/>
        </w:rPr>
        <w:t xml:space="preserve">         </w:t>
      </w:r>
      <w:r>
        <w:rPr>
          <w:rFonts w:ascii="Arial" w:hAnsi="Arial" w:cs="Arial"/>
          <w:i/>
          <w:iCs/>
          <w:lang w:val="ru-RU"/>
        </w:rPr>
        <w:t xml:space="preserve">    </w:t>
      </w:r>
    </w:p>
    <w:p w:rsidR="00E17DDA" w:rsidRDefault="00E17DDA">
      <w:pPr>
        <w:rPr>
          <w:rFonts w:ascii="Arial" w:hAnsi="Arial" w:cs="Arial"/>
          <w:b/>
          <w:bCs/>
          <w:sz w:val="24"/>
          <w:szCs w:val="24"/>
          <w:lang w:val="ru-RU"/>
        </w:rPr>
      </w:pPr>
    </w:p>
    <w:p w:rsidR="00E17DDA" w:rsidRDefault="00E17DDA">
      <w:pPr>
        <w:rPr>
          <w:rFonts w:ascii="Arial" w:hAnsi="Arial" w:cs="Arial"/>
          <w:b/>
          <w:bCs/>
          <w:sz w:val="24"/>
          <w:szCs w:val="24"/>
          <w:u w:val="single"/>
          <w:lang w:val="ru-RU"/>
        </w:rPr>
      </w:pPr>
      <w:r>
        <w:rPr>
          <w:rFonts w:ascii="Arial" w:hAnsi="Arial" w:cs="Arial"/>
          <w:b/>
          <w:bCs/>
          <w:i/>
          <w:iCs/>
          <w:sz w:val="24"/>
          <w:szCs w:val="24"/>
          <w:u w:val="single"/>
          <w:lang w:val="ru-RU"/>
        </w:rPr>
        <w:t>Исх</w:t>
      </w:r>
      <w:r>
        <w:rPr>
          <w:rFonts w:ascii="Arial" w:hAnsi="Arial" w:cs="Arial"/>
          <w:sz w:val="24"/>
          <w:szCs w:val="24"/>
          <w:u w:val="single"/>
          <w:lang w:val="ru-RU"/>
        </w:rPr>
        <w:t xml:space="preserve">.  №  </w:t>
      </w:r>
      <w:r>
        <w:rPr>
          <w:rFonts w:ascii="Arial" w:hAnsi="Arial" w:cs="Arial"/>
          <w:b/>
          <w:bCs/>
          <w:i/>
          <w:iCs/>
          <w:sz w:val="24"/>
          <w:szCs w:val="24"/>
          <w:u w:val="single"/>
          <w:lang w:val="ru-RU"/>
        </w:rPr>
        <w:t>27</w:t>
      </w:r>
      <w:r>
        <w:rPr>
          <w:rFonts w:ascii="Arial" w:hAnsi="Arial" w:cs="Arial"/>
          <w:b/>
          <w:bCs/>
          <w:sz w:val="24"/>
          <w:szCs w:val="24"/>
          <w:u w:val="single"/>
          <w:lang w:val="ru-RU"/>
        </w:rPr>
        <w:t xml:space="preserve">                                               </w:t>
      </w:r>
    </w:p>
    <w:p w:rsidR="00E17DDA" w:rsidRDefault="00E17DDA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28.05.2013</w:t>
      </w:r>
    </w:p>
    <w:p w:rsidR="00E17DDA" w:rsidRDefault="00E17DDA">
      <w:pPr>
        <w:rPr>
          <w:rFonts w:ascii="Arial" w:hAnsi="Arial" w:cs="Arial"/>
          <w:b/>
          <w:bCs/>
          <w:lang w:val="ru-RU"/>
        </w:rPr>
      </w:pPr>
    </w:p>
    <w:p w:rsidR="00E17DDA" w:rsidRDefault="00E17DDA">
      <w:pPr>
        <w:rPr>
          <w:rFonts w:ascii="Arial" w:hAnsi="Arial" w:cs="Arial"/>
          <w:sz w:val="22"/>
          <w:szCs w:val="22"/>
          <w:lang w:val="ru-RU"/>
        </w:rPr>
      </w:pPr>
    </w:p>
    <w:p w:rsidR="00E17DDA" w:rsidRDefault="00E17DDA">
      <w:pPr>
        <w:rPr>
          <w:rFonts w:ascii="Arial" w:hAnsi="Arial" w:cs="Arial"/>
          <w:sz w:val="22"/>
          <w:szCs w:val="22"/>
          <w:lang w:val="ru-RU"/>
        </w:rPr>
      </w:pPr>
    </w:p>
    <w:p w:rsidR="00E17DDA" w:rsidRDefault="00E17DDA">
      <w:pPr>
        <w:rPr>
          <w:rFonts w:ascii="Arial" w:hAnsi="Arial" w:cs="Arial"/>
          <w:sz w:val="22"/>
          <w:szCs w:val="22"/>
          <w:lang w:val="ru-RU"/>
        </w:rPr>
      </w:pPr>
    </w:p>
    <w:p w:rsidR="00E17DDA" w:rsidRDefault="00E17DDA">
      <w:pPr>
        <w:rPr>
          <w:rFonts w:ascii="Arial" w:hAnsi="Arial" w:cs="Arial"/>
          <w:sz w:val="22"/>
          <w:szCs w:val="22"/>
          <w:lang w:val="ru-RU"/>
        </w:rPr>
      </w:pPr>
    </w:p>
    <w:p w:rsidR="00E17DDA" w:rsidRDefault="00E17DDA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 xml:space="preserve">                      </w:t>
      </w:r>
    </w:p>
    <w:p w:rsidR="00E17DDA" w:rsidRDefault="00E17DDA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E17DDA" w:rsidRDefault="00E17DDA">
      <w:pPr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                                   </w:t>
      </w:r>
      <w:r>
        <w:rPr>
          <w:rFonts w:ascii="Arial" w:hAnsi="Arial" w:cs="Arial"/>
          <w:b/>
          <w:bCs/>
          <w:sz w:val="24"/>
          <w:szCs w:val="24"/>
          <w:lang w:val="ru-RU"/>
        </w:rPr>
        <w:t xml:space="preserve">    Уважаемый   Сергей   Геннадьевич!</w:t>
      </w:r>
    </w:p>
    <w:p w:rsidR="00E17DDA" w:rsidRDefault="00E17DDA">
      <w:pPr>
        <w:rPr>
          <w:rFonts w:ascii="Arial" w:hAnsi="Arial" w:cs="Arial"/>
          <w:b/>
          <w:bCs/>
          <w:sz w:val="24"/>
          <w:szCs w:val="24"/>
          <w:lang w:val="ru-RU"/>
        </w:rPr>
      </w:pP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>В  связи  с  выходом  Постановления  Правительства  РФ  от  16.04.2013  № 344  «О внесении изменений в некоторые акты Правительства РФ по вопросам предоставления  коммунальных  услуг»  усугубились  проблемы  по  расчётам  оплаты   горячего  водоснабжения (ГВС)  и  отопления   в жилых  многоквартирных   домах.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  <w:t>Ассоциация  ЖСК,  ЖК  и  ТСЖ  г. Санкт-Петербурга  просит  разъяснить следующие  вопросы:</w:t>
      </w:r>
      <w:r>
        <w:rPr>
          <w:rFonts w:ascii="Arial" w:hAnsi="Arial" w:cs="Arial"/>
          <w:sz w:val="24"/>
          <w:szCs w:val="24"/>
          <w:lang w:val="ru-RU"/>
        </w:rPr>
        <w:tab/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1.  В  нормативно-правовых  актах  в  Санкт-Петербурге  существует   понятие  «тариф»  за  потребление  ГВС   объемом  «1 м</w:t>
      </w:r>
      <w:r>
        <w:rPr>
          <w:rFonts w:ascii="Arial" w:hAnsi="Arial" w:cs="Arial"/>
          <w:sz w:val="24"/>
          <w:szCs w:val="24"/>
          <w:vertAlign w:val="superscript"/>
          <w:lang w:val="ru-RU"/>
        </w:rPr>
        <w:t>3</w:t>
      </w:r>
      <w:r>
        <w:rPr>
          <w:rFonts w:ascii="Arial" w:hAnsi="Arial" w:cs="Arial"/>
          <w:sz w:val="24"/>
          <w:szCs w:val="24"/>
          <w:lang w:val="ru-RU"/>
        </w:rPr>
        <w:t>» .   Одновременно  существует  тариф  за   потребление  теплоносителя  - «1 Гкал».</w:t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Существует  несколько схем  предоставления населению расчётов оплаты   коммунальных  услуг  по  ГВС  и  отоплению, связанных  со  схемой  подключения:</w:t>
      </w:r>
    </w:p>
    <w:p w:rsidR="00E17DDA" w:rsidRDefault="00E17DDA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В  большинстве  случаев  система  теплоснабжения  открытая  двухтрубная.</w:t>
      </w:r>
    </w:p>
    <w:p w:rsidR="00E17DDA" w:rsidRDefault="00E17DD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Закрытая  система   отопления  -   четырёхтрубная  система.</w:t>
      </w:r>
    </w:p>
    <w:p w:rsidR="00E17DDA" w:rsidRDefault="00E17DD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Подключение  полотенцесушителей   от  системы ГВС  или  от системы  отопления.</w:t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При  всех  этих  вариантах   существует  расход  тепловой  энергии,  связанный  с  теплоотдачей  через  стояки  ГВС  и  через  полотенцесушители.   В  случае  подключения  полотенцесушителей  от  системы  ГВС  происходит  обогрев  помещения  ванной  комнаты  в том числе  в  летнее  время (когда  отопление отключено).</w:t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bCs/>
          <w:i/>
          <w:iCs/>
          <w:sz w:val="24"/>
          <w:szCs w:val="24"/>
          <w:lang w:val="ru-RU"/>
        </w:rPr>
        <w:t>Проблема:</w:t>
      </w:r>
      <w:r>
        <w:rPr>
          <w:rFonts w:ascii="Arial" w:hAnsi="Arial" w:cs="Arial"/>
          <w:sz w:val="24"/>
          <w:szCs w:val="24"/>
          <w:lang w:val="ru-RU"/>
        </w:rPr>
        <w:t xml:space="preserve">  при  наличии  общедомового  узла  учета  теплопотребления  и  приборов учёта  ГВС при расчётах  возникает  разница   между   суммарной величиной потребления ГВС по «м</w:t>
      </w:r>
      <w:r>
        <w:rPr>
          <w:rFonts w:ascii="Arial" w:hAnsi="Arial" w:cs="Arial"/>
          <w:sz w:val="24"/>
          <w:szCs w:val="24"/>
          <w:vertAlign w:val="superscript"/>
          <w:lang w:val="ru-RU"/>
        </w:rPr>
        <w:t>3</w:t>
      </w:r>
      <w:r>
        <w:rPr>
          <w:rFonts w:ascii="Arial" w:hAnsi="Arial" w:cs="Arial"/>
          <w:sz w:val="24"/>
          <w:szCs w:val="24"/>
          <w:lang w:val="ru-RU"/>
        </w:rPr>
        <w:t>», зафиксированной  приборами  учёта,  и  количеством  потребленных  «Гкал»  ГВС,  зафиксированным  общим  узлом  учёта.</w:t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В  отопительный  сезон правления  ТСЖ,  ЖСК  при  начислениях  принимали  в  расчёт  зафиксированное  количество «м</w:t>
      </w:r>
      <w:r>
        <w:rPr>
          <w:rFonts w:ascii="Arial" w:hAnsi="Arial" w:cs="Arial"/>
          <w:sz w:val="24"/>
          <w:szCs w:val="24"/>
          <w:vertAlign w:val="superscript"/>
          <w:lang w:val="ru-RU"/>
        </w:rPr>
        <w:t>3</w:t>
      </w:r>
      <w:r>
        <w:rPr>
          <w:rFonts w:ascii="Arial" w:hAnsi="Arial" w:cs="Arial"/>
          <w:sz w:val="24"/>
          <w:szCs w:val="24"/>
          <w:lang w:val="ru-RU"/>
        </w:rPr>
        <w:t xml:space="preserve">»  ГВС,  а   потребление  оставшегося  теплоносителя  в  «Гкал»  относили  к  оплате  услуг   отопления.   </w:t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bCs/>
          <w:i/>
          <w:iCs/>
          <w:sz w:val="24"/>
          <w:szCs w:val="24"/>
          <w:lang w:val="ru-RU"/>
        </w:rPr>
        <w:t>Вопрос:</w:t>
      </w:r>
      <w:r>
        <w:rPr>
          <w:rFonts w:ascii="Arial" w:hAnsi="Arial" w:cs="Arial"/>
          <w:sz w:val="24"/>
          <w:szCs w:val="24"/>
          <w:lang w:val="ru-RU"/>
        </w:rPr>
        <w:t xml:space="preserve">  Куда  относить  при  начислениях  платежей  в  летний  период  (когда отключено  отопление  и  на протяжении четырех  месяцев  снята  оплата   отопления)  расход  тепловой  энергии,  связанный  с  теплоотдачей через  стояки  ГВС  и  через </w:t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                                     -  2  -</w:t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</w:p>
    <w:p w:rsidR="00E17DDA" w:rsidRDefault="00E17DD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полотенцесушители?   Какую  строку  для  этих  «Гкал» вводить  летом  в  квитанциях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на оплату  -  </w:t>
      </w:r>
      <w:r>
        <w:rPr>
          <w:rFonts w:ascii="Arial" w:hAnsi="Arial" w:cs="Arial"/>
          <w:i/>
          <w:iCs/>
          <w:sz w:val="24"/>
          <w:szCs w:val="24"/>
          <w:lang w:val="ru-RU"/>
        </w:rPr>
        <w:t>«потери  ГВС»,   «отопление»,  «тепловая энергия  на подогрев ГВС»?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  <w:t>При  отсутствии  у  населения  многоквартирного  дома  приборов  учёта  потребления  ГВС   в  помещениях  (как   у  всех,  так  и  частично)  каким  образом  учесть  эти  «потери»  летом  и   зимой  в  нормативе?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  <w:t>Необходим  однозначный  ответ  Вашей  службы  на  этот  вопрос,  поскольку  эту  проблему  по  разному  решают  некомпетентные в  этом  вопросе  органы   Прокуратуры,  Жилищной  инспекции  и  Роспотребнадзора.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2.  Письмо  ФСТ  от 06.03.2013 № СН-2164/5,  содержащее  Методические  рекомендации по  ограничению  платы граждан за коммунальные услуги в 2013 году,   адресовано  органам  исполнительной  власти  субъектов РФ.   Однако,  население  общается  с правлениями  ТСЖ,  ЖСК  и  жалуется  в  Прокуратуру,  Жилищную  инспекцию  и т. д.  на   них.  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  <w:t>В  Санкт-Петербурге  Постановление  Правительства  от 06.05.2011  № 354  вступило  в  силу  с  1-го  сентября  2012  года  в полном  объеме.  При  наличии в  многоквартирных  домах  узлов  учёта   тепловой  энергии  «всплеск»  оплаты  в  зимний  период,  вызванный  резким  скачком  оплаты  отопления,   превышал  суммы начислений  в  неотапливаемый  период  более   чем  в  два  раза.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  <w:t xml:space="preserve">Ассоциация  просит  письменно  разъяснить пункт 3  Методических  рекомендаций  от 01.03.2013 № ДК-П9-1327  и  привести  четкий  расчёт  ограничений роста  тарифов в  месяц  за  </w:t>
      </w:r>
      <w:r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z w:val="24"/>
          <w:szCs w:val="24"/>
          <w:lang w:val="ru-RU"/>
        </w:rPr>
        <w:t xml:space="preserve">–е  полугодие  2012 года, 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  <w:lang w:val="ru-RU"/>
        </w:rPr>
        <w:t xml:space="preserve">–е   и   </w:t>
      </w:r>
      <w:r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z w:val="24"/>
          <w:szCs w:val="24"/>
          <w:lang w:val="ru-RU"/>
        </w:rPr>
        <w:t>–е  полугодие  2013  года .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   </w:t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3.   Ассоциация  считает,  что  даже  при  принятых  к  исполнению в  регионе  Правилах предоставления коммунальных услуг, утвержденных Постановлением  Правительства  РФ  от 06.05.2011 № 354  и  требующих  осуществления  расчётов за  отопление только  за  отопительный  период  (т. е.  за  8  месяцев),  необходимо  вернуться  к  равномерному  начислению  оплаты  отопления  (по  среднему  значению)  в  этот  период.</w:t>
      </w: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</w:p>
    <w:p w:rsidR="00E17DDA" w:rsidRDefault="00E17DDA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Ассоциация  просит  Вас  поддержать  наше  предложение!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С  уважением!                                                                    Председатель  Ассоциации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                                     ЖСК,  ЖК  и  ТСЖ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                                     Акимова  Марина  Яковлевна</w:t>
      </w:r>
    </w:p>
    <w:p w:rsidR="00E17DDA" w:rsidRDefault="00E17DDA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</w:t>
      </w:r>
    </w:p>
    <w:p w:rsidR="00E17DDA" w:rsidRDefault="00E17DD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17DDA" w:rsidRDefault="00E17DD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17DDA" w:rsidSect="00E17DDA">
      <w:pgSz w:w="12240" w:h="15840"/>
      <w:pgMar w:top="851" w:right="907" w:bottom="851" w:left="153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co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344024"/>
    <w:multiLevelType w:val="hybridMultilevel"/>
    <w:tmpl w:val="28F6BA70"/>
    <w:lvl w:ilvl="0" w:tplc="9A040FDE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DDA"/>
    <w:rsid w:val="00E17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MS Sans Serif" w:hAnsi="MS Sans Serif" w:cs="MS Sans Serif"/>
      <w:sz w:val="20"/>
      <w:szCs w:val="20"/>
      <w:lang w:val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sg-un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808</Words>
  <Characters>4606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Ассоциация  жилищно - строительных  кооперативов,  жилищных </dc:title>
  <dc:subject/>
  <dc:creator>User</dc:creator>
  <cp:keywords/>
  <dc:description/>
  <cp:lastModifiedBy>правление</cp:lastModifiedBy>
  <cp:revision>3</cp:revision>
  <dcterms:created xsi:type="dcterms:W3CDTF">2013-05-28T10:28:00Z</dcterms:created>
  <dcterms:modified xsi:type="dcterms:W3CDTF">2013-05-28T10:30:00Z</dcterms:modified>
</cp:coreProperties>
</file>