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9F7" w:rsidRDefault="005B79F7" w:rsidP="005B79F7">
      <w:pPr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Зарегистрировано в Минюсте России 7 августа 2014 г. N 33470</w:t>
      </w:r>
    </w:p>
    <w:p w:rsidR="005B79F7" w:rsidRDefault="005B79F7" w:rsidP="005B79F7">
      <w:pPr>
        <w:autoSpaceDE w:val="0"/>
        <w:autoSpaceDN w:val="0"/>
        <w:adjustRightInd w:val="0"/>
        <w:spacing w:before="100" w:after="100"/>
        <w:jc w:val="both"/>
        <w:rPr>
          <w:rFonts w:ascii="Arial CYR" w:hAnsi="Arial CYR" w:cs="Arial CYR"/>
          <w:sz w:val="2"/>
          <w:szCs w:val="2"/>
        </w:rPr>
      </w:pP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ЦЕНТРАЛЬНЫЙ БАНК РОССИЙСКОЙ ФЕДЕРАЦИИ</w:t>
      </w: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УКАЗАНИЕ</w:t>
      </w: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от 17 июля 2014 г. N 3326-У</w:t>
      </w: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О ВНЕСЕНИИ ИЗМЕНЕНИЙ</w:t>
      </w: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 ПОЛОЖЕНИЕ БАНКА РОССИИ ОТ 16 ИЮЛЯ 2012 ГОДА N 385-П</w:t>
      </w: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"О ПРАВИЛАХ ВЕДЕНИЯ БУХГАЛТЕРСКОГО УЧЕТА </w:t>
      </w:r>
      <w:proofErr w:type="gramStart"/>
      <w:r>
        <w:rPr>
          <w:rFonts w:ascii="Arial CYR" w:hAnsi="Arial CYR" w:cs="Arial CYR"/>
          <w:b/>
          <w:bCs/>
          <w:sz w:val="20"/>
          <w:szCs w:val="20"/>
        </w:rPr>
        <w:t>В</w:t>
      </w:r>
      <w:proofErr w:type="gramEnd"/>
      <w:r>
        <w:rPr>
          <w:rFonts w:ascii="Arial CYR" w:hAnsi="Arial CYR" w:cs="Arial CYR"/>
          <w:b/>
          <w:bCs/>
          <w:sz w:val="20"/>
          <w:szCs w:val="20"/>
        </w:rPr>
        <w:t xml:space="preserve"> КРЕДИТНЫХ</w:t>
      </w: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proofErr w:type="gramStart"/>
      <w:r>
        <w:rPr>
          <w:rFonts w:ascii="Arial CYR" w:hAnsi="Arial CYR" w:cs="Arial CYR"/>
          <w:b/>
          <w:bCs/>
          <w:sz w:val="20"/>
          <w:szCs w:val="20"/>
        </w:rPr>
        <w:t>ОРГАНИЗАЦИЯХ</w:t>
      </w:r>
      <w:proofErr w:type="gramEnd"/>
      <w:r>
        <w:rPr>
          <w:rFonts w:ascii="Arial CYR" w:hAnsi="Arial CYR" w:cs="Arial CYR"/>
          <w:b/>
          <w:bCs/>
          <w:sz w:val="20"/>
          <w:szCs w:val="20"/>
        </w:rPr>
        <w:t>, РАСПОЛОЖЕННЫХ НА ТЕРРИТОРИИ</w:t>
      </w:r>
    </w:p>
    <w:p w:rsidR="005B79F7" w:rsidRDefault="005B79F7" w:rsidP="005B79F7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РОССИЙСКОЙ ФЕДЕРАЦИИ"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1. </w:t>
      </w:r>
      <w:proofErr w:type="gramStart"/>
      <w:r>
        <w:rPr>
          <w:rFonts w:ascii="Arial CYR" w:hAnsi="Arial CYR" w:cs="Arial CYR"/>
          <w:sz w:val="20"/>
          <w:szCs w:val="20"/>
        </w:rPr>
        <w:t xml:space="preserve">В соответствии с решением Совета директоров Банка России (протокол заседания Совета директоров Банка России от 11 июля 2014 года N 21) внести в </w:t>
      </w:r>
      <w:hyperlink r:id="rId5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Положение</w:t>
        </w:r>
      </w:hyperlink>
      <w:r>
        <w:rPr>
          <w:rFonts w:ascii="Arial CYR" w:hAnsi="Arial CYR" w:cs="Arial CYR"/>
          <w:sz w:val="20"/>
          <w:szCs w:val="20"/>
        </w:rPr>
        <w:t xml:space="preserve"> Банка России от 16 июля 2012 года N 385-П "О правилах ведения бухгалтерского учета в кредитных организациях, расположенных на территории Российской Федерации", зарегистрированное Министерством юстиции Российской Федерации 3 сентября 2012 года N 25350, 15 октября 2012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>
        <w:rPr>
          <w:rFonts w:ascii="Arial CYR" w:hAnsi="Arial CYR" w:cs="Arial CYR"/>
          <w:sz w:val="20"/>
          <w:szCs w:val="20"/>
        </w:rPr>
        <w:t>года N 25670, 15 октября 2013 года N 30198, 9 декабря 2013 года N 30568, 23 декабря 2013 года N 30721, 27 декабря 2013 года N 30883 ("Вестник Банка России" от 25 сентября 2012 года N 56-57, от 24 октября 2012 года N 62, от 23 октября 2013 года N 57, от 19 декабря 2013 года N 74, от 14</w:t>
      </w:r>
      <w:proofErr w:type="gramEnd"/>
      <w:r>
        <w:rPr>
          <w:rFonts w:ascii="Arial CYR" w:hAnsi="Arial CYR" w:cs="Arial CYR"/>
          <w:sz w:val="20"/>
          <w:szCs w:val="20"/>
        </w:rPr>
        <w:t xml:space="preserve"> января 2014 года N 1, от 15 января 2014 года N 2), следующие изменения.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1.1. </w:t>
      </w:r>
      <w:proofErr w:type="gramStart"/>
      <w:r>
        <w:rPr>
          <w:rFonts w:ascii="Arial CYR" w:hAnsi="Arial CYR" w:cs="Arial CYR"/>
          <w:sz w:val="20"/>
          <w:szCs w:val="20"/>
        </w:rPr>
        <w:t xml:space="preserve">В </w:t>
      </w:r>
      <w:hyperlink r:id="rId6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преамбуле</w:t>
        </w:r>
      </w:hyperlink>
      <w:r>
        <w:rPr>
          <w:rFonts w:ascii="Arial CYR" w:hAnsi="Arial CYR" w:cs="Arial CYR"/>
          <w:sz w:val="20"/>
          <w:szCs w:val="20"/>
        </w:rPr>
        <w:t xml:space="preserve"> слова "N 48, ст. 6728)" заменить словами "N 48, ст. 6728; 2012, N 50, ст. 6954; N 53, ст. 7591, ст. 7607; 2013, N 11, ст. 1076; N 14, ст. 1649; N 19, ст. 2329; N 27, ст. 3438, ст. 3476, ст. 3477; N 30, ст. 4084; N 49, ст. 6336;</w:t>
      </w:r>
      <w:proofErr w:type="gramEnd"/>
      <w:r>
        <w:rPr>
          <w:rFonts w:ascii="Arial CYR" w:hAnsi="Arial CYR" w:cs="Arial CYR"/>
          <w:sz w:val="20"/>
          <w:szCs w:val="20"/>
        </w:rPr>
        <w:t xml:space="preserve"> </w:t>
      </w:r>
      <w:proofErr w:type="gramStart"/>
      <w:r>
        <w:rPr>
          <w:rFonts w:ascii="Arial CYR" w:hAnsi="Arial CYR" w:cs="Arial CYR"/>
          <w:sz w:val="20"/>
          <w:szCs w:val="20"/>
        </w:rPr>
        <w:t>N 51, ст. 6695, ст. 6699; N 52, ст. 6975; 2014, N 19, ст. 2311, ст. 2317; N 27, ст. 3634) (далее - Федеральный закон от 10 июля 2002 года N 86-ФЗ)".</w:t>
      </w:r>
      <w:proofErr w:type="gramEnd"/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1.2. В </w:t>
      </w:r>
      <w:hyperlink r:id="rId7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приложении</w:t>
        </w:r>
      </w:hyperlink>
      <w:r>
        <w:rPr>
          <w:rFonts w:ascii="Arial CYR" w:hAnsi="Arial CYR" w:cs="Arial CYR"/>
          <w:sz w:val="20"/>
          <w:szCs w:val="20"/>
        </w:rPr>
        <w:t>: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1.2.1. В </w:t>
      </w:r>
      <w:hyperlink r:id="rId8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Плане</w:t>
        </w:r>
      </w:hyperlink>
      <w:r>
        <w:rPr>
          <w:rFonts w:ascii="Arial CYR" w:hAnsi="Arial CYR" w:cs="Arial CYR"/>
          <w:sz w:val="20"/>
          <w:szCs w:val="20"/>
        </w:rPr>
        <w:t xml:space="preserve"> счетов бухгалтерского учета в кредитных организациях: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после </w:t>
      </w:r>
      <w:hyperlink r:id="rId9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строки</w:t>
        </w:r>
      </w:hyperlink>
      <w:r>
        <w:rPr>
          <w:rFonts w:ascii="Arial CYR" w:hAnsi="Arial CYR" w:cs="Arial CYR"/>
          <w:sz w:val="20"/>
          <w:szCs w:val="20"/>
        </w:rPr>
        <w:t xml:space="preserve"> счета N 30211 дополнить строкой следующего содержания: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"30213  Обеспечительный взнос оператора платежной</w:t>
      </w:r>
      <w:proofErr w:type="gramStart"/>
      <w:r>
        <w:rPr>
          <w:rFonts w:ascii="Courier New CYR" w:hAnsi="Courier New CYR" w:cs="Courier New CYR"/>
          <w:sz w:val="20"/>
          <w:szCs w:val="20"/>
        </w:rPr>
        <w:t xml:space="preserve">              А</w:t>
      </w:r>
      <w:proofErr w:type="gramEnd"/>
      <w:r>
        <w:rPr>
          <w:rFonts w:ascii="Courier New CYR" w:hAnsi="Courier New CYR" w:cs="Courier New CYR"/>
          <w:sz w:val="20"/>
          <w:szCs w:val="20"/>
        </w:rPr>
        <w:t>";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        системы, не являющейся национально значимой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        платежной системой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после </w:t>
      </w:r>
      <w:hyperlink r:id="rId10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строки</w:t>
        </w:r>
      </w:hyperlink>
      <w:r>
        <w:rPr>
          <w:rFonts w:ascii="Arial CYR" w:hAnsi="Arial CYR" w:cs="Arial CYR"/>
          <w:sz w:val="20"/>
          <w:szCs w:val="20"/>
        </w:rPr>
        <w:t xml:space="preserve"> счета N 40603 дополнить строкой следующего содержания: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"40604  Специальный банковский счет регионального              </w:t>
      </w:r>
      <w:proofErr w:type="gramStart"/>
      <w:r>
        <w:rPr>
          <w:rFonts w:ascii="Courier New CYR" w:hAnsi="Courier New CYR" w:cs="Courier New CYR"/>
          <w:sz w:val="20"/>
          <w:szCs w:val="20"/>
        </w:rPr>
        <w:t>П</w:t>
      </w:r>
      <w:proofErr w:type="gramEnd"/>
      <w:r>
        <w:rPr>
          <w:rFonts w:ascii="Courier New CYR" w:hAnsi="Courier New CYR" w:cs="Courier New CYR"/>
          <w:sz w:val="20"/>
          <w:szCs w:val="20"/>
        </w:rPr>
        <w:t>";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        оператора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после </w:t>
      </w:r>
      <w:hyperlink r:id="rId11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строки</w:t>
        </w:r>
      </w:hyperlink>
      <w:r>
        <w:rPr>
          <w:rFonts w:ascii="Arial CYR" w:hAnsi="Arial CYR" w:cs="Arial CYR"/>
          <w:sz w:val="20"/>
          <w:szCs w:val="20"/>
        </w:rPr>
        <w:t xml:space="preserve"> счета N 40704 дополнить строкой следующего содержания: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"40705  Специальный банковский счет товариществ                </w:t>
      </w:r>
      <w:proofErr w:type="gramStart"/>
      <w:r>
        <w:rPr>
          <w:rFonts w:ascii="Courier New CYR" w:hAnsi="Courier New CYR" w:cs="Courier New CYR"/>
          <w:sz w:val="20"/>
          <w:szCs w:val="20"/>
        </w:rPr>
        <w:t>П</w:t>
      </w:r>
      <w:proofErr w:type="gramEnd"/>
      <w:r>
        <w:rPr>
          <w:rFonts w:ascii="Courier New CYR" w:hAnsi="Courier New CYR" w:cs="Courier New CYR"/>
          <w:sz w:val="20"/>
          <w:szCs w:val="20"/>
        </w:rPr>
        <w:t>".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        собственников жилья, жилищных кооперативов и иных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        специализированных потребительских кооперативов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1.2.2. Третье и четвертое предложения </w:t>
      </w:r>
      <w:hyperlink r:id="rId12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абзаца пятого пункта 1.15</w:t>
        </w:r>
      </w:hyperlink>
      <w:r>
        <w:rPr>
          <w:rFonts w:ascii="Arial CYR" w:hAnsi="Arial CYR" w:cs="Arial CYR"/>
          <w:sz w:val="20"/>
          <w:szCs w:val="20"/>
        </w:rPr>
        <w:t xml:space="preserve"> части I исключить.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1.2.3. В </w:t>
      </w:r>
      <w:hyperlink r:id="rId13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части II</w:t>
        </w:r>
      </w:hyperlink>
      <w:r>
        <w:rPr>
          <w:rFonts w:ascii="Arial CYR" w:hAnsi="Arial CYR" w:cs="Arial CYR"/>
          <w:sz w:val="20"/>
          <w:szCs w:val="20"/>
        </w:rPr>
        <w:t>: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после </w:t>
      </w:r>
      <w:hyperlink r:id="rId14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пункта 3.15</w:t>
        </w:r>
      </w:hyperlink>
      <w:r>
        <w:rPr>
          <w:rFonts w:ascii="Arial CYR" w:hAnsi="Arial CYR" w:cs="Arial CYR"/>
          <w:sz w:val="20"/>
          <w:szCs w:val="20"/>
        </w:rPr>
        <w:t xml:space="preserve"> дополнить словами и пунктом 3.15.1 следующего содержания: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"Счет N 30213 "Обеспечительный взнос оператора платежной системы, не являющейся национально значимой платежной системой"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3.15.1. Назначение счета - учет оператором платежной системы, не являющейся национально значимой платежной системой, денежных средств (обеспечительного взноса), внесенных на специальный счет в Банке России в соответствии со </w:t>
      </w:r>
      <w:hyperlink r:id="rId15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статьей 82.5</w:t>
        </w:r>
      </w:hyperlink>
      <w:r>
        <w:rPr>
          <w:rFonts w:ascii="Arial CYR" w:hAnsi="Arial CYR" w:cs="Arial CYR"/>
          <w:sz w:val="20"/>
          <w:szCs w:val="20"/>
        </w:rPr>
        <w:t xml:space="preserve"> Федерального закона от 10 июля 2002 года N 86-ФЗ. Счет активный.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Порядок ведения аналитического учета определяется кредитной организацией. При этом аналитический учет должен обеспечивать получение информации по каждой платежной системе, не </w:t>
      </w:r>
      <w:r>
        <w:rPr>
          <w:rFonts w:ascii="Arial CYR" w:hAnsi="Arial CYR" w:cs="Arial CYR"/>
          <w:sz w:val="20"/>
          <w:szCs w:val="20"/>
        </w:rPr>
        <w:lastRenderedPageBreak/>
        <w:t>являющейся национально значимой платежной системой, оператором которой является кредитная организация</w:t>
      </w:r>
      <w:proofErr w:type="gramStart"/>
      <w:r>
        <w:rPr>
          <w:rFonts w:ascii="Arial CYR" w:hAnsi="Arial CYR" w:cs="Arial CYR"/>
          <w:sz w:val="20"/>
          <w:szCs w:val="20"/>
        </w:rPr>
        <w:t>.";</w:t>
      </w:r>
      <w:proofErr w:type="gramEnd"/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hyperlink r:id="rId16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пункт 4.29</w:t>
        </w:r>
      </w:hyperlink>
      <w:r>
        <w:rPr>
          <w:rFonts w:ascii="Arial CYR" w:hAnsi="Arial CYR" w:cs="Arial CYR"/>
          <w:sz w:val="20"/>
          <w:szCs w:val="20"/>
        </w:rPr>
        <w:t xml:space="preserve"> дополнить абзацами следующего содержания: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"На специальных банковских счетах N 40604 и N 40705 в соответствии с законодательством Российской Федерации открываются счета региональным операторам, товариществам собственников жилья, жилищным кооперативам и иным специализированным потребительским кооперативам для учета денежных </w:t>
      </w:r>
      <w:proofErr w:type="gramStart"/>
      <w:r>
        <w:rPr>
          <w:rFonts w:ascii="Arial CYR" w:hAnsi="Arial CYR" w:cs="Arial CYR"/>
          <w:sz w:val="20"/>
          <w:szCs w:val="20"/>
        </w:rPr>
        <w:t>средств фонда капитального ремонта собственников помещений</w:t>
      </w:r>
      <w:proofErr w:type="gramEnd"/>
      <w:r>
        <w:rPr>
          <w:rFonts w:ascii="Arial CYR" w:hAnsi="Arial CYR" w:cs="Arial CYR"/>
          <w:sz w:val="20"/>
          <w:szCs w:val="20"/>
        </w:rPr>
        <w:t>. Счета пассивные.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В аналитическом учете ведутся отдельные лицевые счета по каждому договору специального банковского счета</w:t>
      </w:r>
      <w:proofErr w:type="gramStart"/>
      <w:r>
        <w:rPr>
          <w:rFonts w:ascii="Arial CYR" w:hAnsi="Arial CYR" w:cs="Arial CYR"/>
          <w:sz w:val="20"/>
          <w:szCs w:val="20"/>
        </w:rPr>
        <w:t>.".</w:t>
      </w:r>
      <w:proofErr w:type="gramEnd"/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1.3. В </w:t>
      </w:r>
      <w:hyperlink r:id="rId17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главе</w:t>
        </w:r>
        <w:proofErr w:type="gramStart"/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 xml:space="preserve"> А</w:t>
        </w:r>
        <w:proofErr w:type="gramEnd"/>
      </w:hyperlink>
      <w:r>
        <w:rPr>
          <w:rFonts w:ascii="Arial CYR" w:hAnsi="Arial CYR" w:cs="Arial CYR"/>
          <w:sz w:val="20"/>
          <w:szCs w:val="20"/>
        </w:rPr>
        <w:t xml:space="preserve"> приложения 8 к приложению: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после </w:t>
      </w:r>
      <w:hyperlink r:id="rId18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строки</w:t>
        </w:r>
      </w:hyperlink>
      <w:r>
        <w:rPr>
          <w:rFonts w:ascii="Arial CYR" w:hAnsi="Arial CYR" w:cs="Arial CYR"/>
          <w:sz w:val="20"/>
          <w:szCs w:val="20"/>
        </w:rPr>
        <w:t xml:space="preserve"> счета N 30211 дополнить строкой следующего содержания: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┌───────┬────────┬───────────────────────────────┬───────┬───────┬────────────┬───────┬──────┬──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30213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Обеспечительный взнос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оператора платежной системы,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proofErr w:type="gramStart"/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не являющейся национально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proofErr w:type="gramEnd"/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>значимой платежной системой</w:t>
      </w:r>
      <w:proofErr w:type="gramStart"/>
      <w:r>
        <w:rPr>
          <w:rFonts w:ascii="Courier New CYR" w:hAnsi="Courier New CYR" w:cs="Courier New CYR"/>
          <w:sz w:val="20"/>
          <w:szCs w:val="20"/>
        </w:rPr>
        <w:t xml:space="preserve">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А</w:t>
      </w:r>
      <w:proofErr w:type="gramEnd"/>
      <w:r>
        <w:rPr>
          <w:rFonts w:ascii="Courier New CYR" w:hAnsi="Courier New CYR" w:cs="Courier New CYR"/>
          <w:sz w:val="20"/>
          <w:szCs w:val="20"/>
        </w:rPr>
        <w:t xml:space="preserve">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└───────┴────────┴───────────────────────────────┴───────┴───────┴────────────┴───────┴──────┴──</w:t>
      </w:r>
      <w:r>
        <w:rPr>
          <w:rFonts w:ascii="Courier New CYR" w:hAnsi="Courier New CYR" w:cs="Courier New CYR"/>
          <w:sz w:val="20"/>
          <w:szCs w:val="20"/>
        </w:rPr>
        <w:t xml:space="preserve">                                                                                                                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после </w:t>
      </w:r>
      <w:hyperlink r:id="rId19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строки</w:t>
        </w:r>
      </w:hyperlink>
      <w:r>
        <w:rPr>
          <w:rFonts w:ascii="Arial CYR" w:hAnsi="Arial CYR" w:cs="Arial CYR"/>
          <w:sz w:val="20"/>
          <w:szCs w:val="20"/>
        </w:rPr>
        <w:t xml:space="preserve"> счета N 40603 дополнить строкой следующего содержания: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┌───────┬────────┬───────────────────────────────┬───────┬───────┬────────────┬───────┬──────┬──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40604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Специальный банковский счет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регионального оператора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</w:t>
      </w:r>
      <w:proofErr w:type="gramStart"/>
      <w:r>
        <w:rPr>
          <w:rFonts w:ascii="Courier New CYR" w:hAnsi="Courier New CYR" w:cs="Courier New CYR"/>
          <w:sz w:val="20"/>
          <w:szCs w:val="20"/>
        </w:rPr>
        <w:t>П</w:t>
      </w:r>
      <w:proofErr w:type="gramEnd"/>
      <w:r>
        <w:rPr>
          <w:rFonts w:ascii="Courier New CYR" w:hAnsi="Courier New CYR" w:cs="Courier New CYR"/>
          <w:sz w:val="20"/>
          <w:szCs w:val="20"/>
        </w:rPr>
        <w:t xml:space="preserve">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└───────┴────────┴───────────────────────────────┴───────┴───────┴────────────┴───────┴──────┴──</w:t>
      </w:r>
      <w:r>
        <w:rPr>
          <w:rFonts w:ascii="Courier New CYR" w:hAnsi="Courier New CYR" w:cs="Courier New CYR"/>
          <w:sz w:val="20"/>
          <w:szCs w:val="20"/>
        </w:rPr>
        <w:t xml:space="preserve">                                                                                                      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после </w:t>
      </w:r>
      <w:hyperlink r:id="rId20" w:history="1">
        <w:r>
          <w:rPr>
            <w:rFonts w:ascii="Arial CYR" w:hAnsi="Arial CYR" w:cs="Arial CYR"/>
            <w:color w:val="0000FF"/>
            <w:sz w:val="20"/>
            <w:szCs w:val="20"/>
            <w:u w:val="single"/>
          </w:rPr>
          <w:t>строки</w:t>
        </w:r>
      </w:hyperlink>
      <w:r>
        <w:rPr>
          <w:rFonts w:ascii="Arial CYR" w:hAnsi="Arial CYR" w:cs="Arial CYR"/>
          <w:sz w:val="20"/>
          <w:szCs w:val="20"/>
        </w:rPr>
        <w:t xml:space="preserve"> счета N 40704 дополнить строкой следующего содержания: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┌───────┬────────┬───────────────────────────────┬───────┬───────┬────────────┬───────┬──────┬──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40705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Специальный банковский счет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товариществ собственников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жилья, жилищных кооперативов и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иных специализированных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потребительских кооперативов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</w:t>
      </w:r>
      <w:proofErr w:type="gramStart"/>
      <w:r>
        <w:rPr>
          <w:rFonts w:ascii="Courier New CYR" w:hAnsi="Courier New CYR" w:cs="Courier New CYR"/>
          <w:sz w:val="20"/>
          <w:szCs w:val="20"/>
        </w:rPr>
        <w:t>П</w:t>
      </w:r>
      <w:proofErr w:type="gramEnd"/>
      <w:r>
        <w:rPr>
          <w:rFonts w:ascii="Courier New CYR" w:hAnsi="Courier New CYR" w:cs="Courier New CYR"/>
          <w:sz w:val="20"/>
          <w:szCs w:val="20"/>
        </w:rPr>
        <w:t xml:space="preserve">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  <w:r>
        <w:rPr>
          <w:rFonts w:ascii="Courier New CYR" w:hAnsi="Courier New CYR" w:cs="Courier New CYR"/>
          <w:sz w:val="20"/>
          <w:szCs w:val="20"/>
        </w:rPr>
        <w:t xml:space="preserve">      </w:t>
      </w:r>
      <w:r w:rsidRPr="005B79F7">
        <w:rPr>
          <w:rFonts w:ascii="Segoe UI Symbol" w:hAnsi="Segoe UI Symbol" w:cs="Segoe UI Symbol"/>
          <w:sz w:val="20"/>
          <w:szCs w:val="20"/>
        </w:rPr>
        <w:t>│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Courier New CYR" w:hAnsi="Courier New CYR" w:cs="Courier New CYR"/>
          <w:sz w:val="20"/>
          <w:szCs w:val="20"/>
        </w:rPr>
      </w:pPr>
      <w:r w:rsidRPr="005B79F7">
        <w:rPr>
          <w:rFonts w:ascii="Segoe UI Symbol" w:hAnsi="Segoe UI Symbol" w:cs="Segoe UI Symbol"/>
          <w:sz w:val="20"/>
          <w:szCs w:val="20"/>
        </w:rPr>
        <w:t>└───────┴────────┴───────────────────────────────┴───────┴───────┴────────────┴───────┴──────┴──</w:t>
      </w:r>
      <w:r>
        <w:rPr>
          <w:rFonts w:ascii="Courier New CYR" w:hAnsi="Courier New CYR" w:cs="Courier New CYR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2. Настоящее Указание вступает в силу по истечении 10 дней после дня его официального опубликования в "Вестнике Банка России".</w:t>
      </w: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bookmarkStart w:id="0" w:name="_GoBack"/>
      <w:bookmarkEnd w:id="0"/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jc w:val="right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Председатель Центрального банка</w:t>
      </w:r>
    </w:p>
    <w:p w:rsidR="005B79F7" w:rsidRDefault="005B79F7" w:rsidP="005B79F7">
      <w:pPr>
        <w:autoSpaceDE w:val="0"/>
        <w:autoSpaceDN w:val="0"/>
        <w:adjustRightInd w:val="0"/>
        <w:jc w:val="right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Российской Федерации</w:t>
      </w:r>
    </w:p>
    <w:p w:rsidR="005B79F7" w:rsidRDefault="005B79F7" w:rsidP="005B79F7">
      <w:pPr>
        <w:autoSpaceDE w:val="0"/>
        <w:autoSpaceDN w:val="0"/>
        <w:adjustRightInd w:val="0"/>
        <w:jc w:val="right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Э.С.НАБИУЛЛИНА</w:t>
      </w:r>
    </w:p>
    <w:p w:rsidR="005B79F7" w:rsidRDefault="005B79F7" w:rsidP="005B79F7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</w:p>
    <w:p w:rsidR="005B79F7" w:rsidRDefault="005B79F7" w:rsidP="005B79F7">
      <w:pPr>
        <w:autoSpaceDE w:val="0"/>
        <w:autoSpaceDN w:val="0"/>
        <w:adjustRightInd w:val="0"/>
        <w:spacing w:before="100" w:after="100"/>
        <w:jc w:val="both"/>
        <w:rPr>
          <w:rFonts w:ascii="Arial CYR" w:hAnsi="Arial CYR" w:cs="Arial CYR"/>
          <w:sz w:val="2"/>
          <w:szCs w:val="2"/>
        </w:rPr>
      </w:pPr>
    </w:p>
    <w:p w:rsidR="0045260E" w:rsidRDefault="0045260E"/>
    <w:sectPr w:rsidR="0045260E" w:rsidSect="00B6109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3AC"/>
    <w:rsid w:val="001D3D0E"/>
    <w:rsid w:val="0045260E"/>
    <w:rsid w:val="00555695"/>
    <w:rsid w:val="005B79F7"/>
    <w:rsid w:val="0079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8A1AB23F3911FE3B750F89B38AFCFBB315680B7E0EC0B0C1D0245857F48F6C413CC4E9213C546ET3LBL%20o%20" TargetMode="External"/><Relationship Id="rId13" Type="http://schemas.openxmlformats.org/officeDocument/2006/relationships/hyperlink" Target="consultantplus://offline/ref=E48A1AB23F3911FE3B750F89B38AFCFBB315680B7E0EC0B0C1D0245857F48F6C413CC4E9213D5C6CT3LDL%20o%20" TargetMode="External"/><Relationship Id="rId18" Type="http://schemas.openxmlformats.org/officeDocument/2006/relationships/hyperlink" Target="consultantplus://offline/ref=E48A1AB23F3911FE3B750F89B38AFCFBB315680B7E0EC0B0C1D0245857F48F6C413CC4E921395168T3L8L%20o%2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E48A1AB23F3911FE3B750F89B38AFCFBB315680B7E0EC0B0C1D0245857F48F6C413CC4E9213C546FT3L2L%20o%20" TargetMode="External"/><Relationship Id="rId12" Type="http://schemas.openxmlformats.org/officeDocument/2006/relationships/hyperlink" Target="consultantplus://offline/ref=E48A1AB23F3911FE3B750F89B38AFCFBB315680B7E0EC0B0C1D0245857F48F6C413CC4EET2L2L%20o%20" TargetMode="External"/><Relationship Id="rId17" Type="http://schemas.openxmlformats.org/officeDocument/2006/relationships/hyperlink" Target="consultantplus://offline/ref=E48A1AB23F3911FE3B750F89B38AFCFBB315680B7E0EC0B0C1D0245857F48F6C413CC4E92139506BT3LEL%20o%2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48A1AB23F3911FE3B750F89B38AFCFBB315680B7E0EC0B0C1D0245857F48F6C413CC4E9283BT5L3L%20o%20" TargetMode="External"/><Relationship Id="rId20" Type="http://schemas.openxmlformats.org/officeDocument/2006/relationships/hyperlink" Target="consultantplus://offline/ref=E48A1AB23F3911FE3B750F89B38AFCFBB315680B7E0EC0B0C1D0245857F48F6C413CC4E921395C68T3LDL%20o%20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48A1AB23F3911FE3B750F89B38AFCFBB315680B7E0EC0B0C1D0245857F48F6C413CC4E9213C546DT3LDL%20o%20" TargetMode="External"/><Relationship Id="rId11" Type="http://schemas.openxmlformats.org/officeDocument/2006/relationships/hyperlink" Target="consultantplus://offline/ref=E48A1AB23F3911FE3B750F89B38AFCFBB315680B7E0EC0B0C1D0245857F48F6C413CC4E9213C5768T3LCL%20o%20" TargetMode="External"/><Relationship Id="rId5" Type="http://schemas.openxmlformats.org/officeDocument/2006/relationships/hyperlink" Target="consultantplus://offline/ref=E48A1AB23F3911FE3B750F89B38AFCFBB315680B7E0EC0B0C1D0245857TFL4L%20o%20" TargetMode="External"/><Relationship Id="rId15" Type="http://schemas.openxmlformats.org/officeDocument/2006/relationships/hyperlink" Target="consultantplus://offline/ref=E48A1AB23F3911FE3B750F89B38AFCFBB31669097D01C0B0C1D0245857F48F6C413CC4EB27T3LEL%20o%20" TargetMode="External"/><Relationship Id="rId10" Type="http://schemas.openxmlformats.org/officeDocument/2006/relationships/hyperlink" Target="consultantplus://offline/ref=E48A1AB23F3911FE3B750F89B38AFCFBB315680B7E0EC0B0C1D0245857F48F6C413CC4E9213C5768T3L9L%20o%20" TargetMode="External"/><Relationship Id="rId19" Type="http://schemas.openxmlformats.org/officeDocument/2006/relationships/hyperlink" Target="consultantplus://offline/ref=E48A1AB23F3911FE3B750F89B38AFCFBB315680B7E0EC0B0C1D0245857F48F6C413CC4E921395C68T3LBL%20o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8A1AB23F3911FE3B750F89B38AFCFBB315680B7E0EC0B0C1D0245857F48F6C413CC4E9213C556CT3LDL%20o%20" TargetMode="External"/><Relationship Id="rId14" Type="http://schemas.openxmlformats.org/officeDocument/2006/relationships/hyperlink" Target="consultantplus://offline/ref=E48A1AB23F3911FE3B750F89B38AFCFBB315680B7E0EC0B0C1D0245857F48F6C413CC4E9213E546BT3LAL%20o%2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1253</Words>
  <Characters>7144</Characters>
  <Application>Microsoft Office Word</Application>
  <DocSecurity>0</DocSecurity>
  <Lines>59</Lines>
  <Paragraphs>16</Paragraphs>
  <ScaleCrop>false</ScaleCrop>
  <Company/>
  <LinksUpToDate>false</LinksUpToDate>
  <CharactersWithSpaces>8381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slavinaea</dc:creator>
  <cp:keywords/>
  <dc:description/>
  <cp:lastModifiedBy>slavinaea</cp:lastModifiedBy>
  <cp:revision>3</cp:revision>
  <dcterms:created xsi:type="dcterms:W3CDTF">2014-08-19T11:12:00Z</dcterms:created>
  <dcterms:modified xsi:type="dcterms:W3CDTF">2014-08-19T11:14:00Z</dcterms:modified>
</cp:coreProperties>
</file>